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7C2" w14:textId="77777777" w:rsidR="009E0812" w:rsidRDefault="00000000">
      <w:pPr>
        <w:pStyle w:val="Heading1"/>
      </w:pPr>
      <w:bookmarkStart w:id="0" w:name="gdpr-and-data-protection-policy"/>
      <w:r>
        <w:t>GDPR and Data Protection Policy</w:t>
      </w:r>
    </w:p>
    <w:p w14:paraId="45DA9C15" w14:textId="5F9B25C9" w:rsidR="009E0812" w:rsidRDefault="00000000">
      <w:pPr>
        <w:pStyle w:val="FirstParagraph"/>
      </w:pPr>
      <w:r>
        <w:rPr>
          <w:b/>
          <w:bCs/>
        </w:rPr>
        <w:t>For:</w:t>
      </w:r>
      <w:r>
        <w:t xml:space="preserve"> </w:t>
      </w:r>
      <w:r w:rsidR="008117A6">
        <w:t>Helping Hands West Midlands</w:t>
      </w:r>
    </w:p>
    <w:p w14:paraId="6EA2AAB8" w14:textId="548E7BD1" w:rsidR="009E0812" w:rsidRDefault="00000000">
      <w:pPr>
        <w:pStyle w:val="BodyText"/>
      </w:pPr>
      <w:r>
        <w:rPr>
          <w:b/>
          <w:bCs/>
        </w:rPr>
        <w:t>Applies to:</w:t>
      </w:r>
      <w:r>
        <w:t xml:space="preserve"> All employees,</w:t>
      </w:r>
      <w:r w:rsidR="008117A6">
        <w:t xml:space="preserve"> </w:t>
      </w:r>
      <w:r>
        <w:t>behaviour and wellbeing staff, consultants, contractors, and volunteers</w:t>
      </w:r>
    </w:p>
    <w:p w14:paraId="717C448F" w14:textId="77777777" w:rsidR="009E0812" w:rsidRDefault="00000000">
      <w:pPr>
        <w:pStyle w:val="BodyText"/>
      </w:pPr>
      <w:r>
        <w:rPr>
          <w:b/>
          <w:bCs/>
        </w:rPr>
        <w:t>Policy owner:</w:t>
      </w:r>
      <w:r>
        <w:t xml:space="preserve"> Data Protection Officer (DPO) / Director</w:t>
      </w:r>
    </w:p>
    <w:p w14:paraId="475F1B8F" w14:textId="0B6A31BE" w:rsidR="009E0812" w:rsidRDefault="00000000">
      <w:pPr>
        <w:pStyle w:val="BodyText"/>
      </w:pPr>
      <w:r>
        <w:rPr>
          <w:b/>
          <w:bCs/>
        </w:rPr>
        <w:t>Last reviewed:</w:t>
      </w:r>
      <w:r>
        <w:t xml:space="preserve"> </w:t>
      </w:r>
      <w:r w:rsidR="008117A6">
        <w:t>01.12.2025</w:t>
      </w:r>
    </w:p>
    <w:p w14:paraId="26B10F4C" w14:textId="3581D304" w:rsidR="009E0812" w:rsidRDefault="00000000">
      <w:pPr>
        <w:pStyle w:val="BodyText"/>
      </w:pPr>
      <w:r>
        <w:rPr>
          <w:b/>
          <w:bCs/>
        </w:rPr>
        <w:t>Next review:</w:t>
      </w:r>
      <w:r>
        <w:t xml:space="preserve"> </w:t>
      </w:r>
      <w:r w:rsidR="008117A6">
        <w:t>30.11.2026</w:t>
      </w:r>
    </w:p>
    <w:p w14:paraId="71A4A1FC" w14:textId="77777777" w:rsidR="009E0812" w:rsidRDefault="0066358A">
      <w:r>
        <w:rPr>
          <w:noProof/>
        </w:rPr>
        <w:pict w14:anchorId="35434BB8">
          <v:rect id="_x0000_i1037" alt="" style="width:468pt;height:.05pt;mso-width-percent:0;mso-height-percent:0;mso-width-percent:0;mso-height-percent:0" o:hralign="center" o:hrstd="t" o:hr="t"/>
        </w:pict>
      </w:r>
    </w:p>
    <w:p w14:paraId="53E73668" w14:textId="77777777" w:rsidR="009E0812" w:rsidRDefault="00000000">
      <w:pPr>
        <w:pStyle w:val="Heading2"/>
      </w:pPr>
      <w:bookmarkStart w:id="1" w:name="policy-statement"/>
      <w:r>
        <w:t>1. Policy Statement</w:t>
      </w:r>
    </w:p>
    <w:p w14:paraId="681F2957" w14:textId="0B57E84D" w:rsidR="009E0812" w:rsidRDefault="008117A6">
      <w:pPr>
        <w:pStyle w:val="FirstParagraph"/>
      </w:pPr>
      <w:r>
        <w:t xml:space="preserve">Helping Hand </w:t>
      </w:r>
      <w:r w:rsidR="00000000">
        <w:t>is committed to protecting personal data in compliance with the UK GDPR and the Data Protection Act 2018. This policy ensures that personal data is collected, stored, processed, and shared lawfully, fairly, and transparently.</w:t>
      </w:r>
    </w:p>
    <w:p w14:paraId="0E81EE96" w14:textId="77777777" w:rsidR="009E0812" w:rsidRDefault="0066358A">
      <w:r>
        <w:rPr>
          <w:noProof/>
        </w:rPr>
        <w:pict w14:anchorId="1EB1B8C0">
          <v:rect id="_x0000_i1036" alt="" style="width:468pt;height:.05pt;mso-width-percent:0;mso-height-percent:0;mso-width-percent:0;mso-height-percent:0" o:hralign="center" o:hrstd="t" o:hr="t"/>
        </w:pict>
      </w:r>
    </w:p>
    <w:p w14:paraId="29AAAD43" w14:textId="77777777" w:rsidR="009E0812" w:rsidRDefault="00000000">
      <w:pPr>
        <w:pStyle w:val="Heading2"/>
      </w:pPr>
      <w:bookmarkStart w:id="2" w:name="scope"/>
      <w:bookmarkEnd w:id="1"/>
      <w:r>
        <w:t>2. Scope</w:t>
      </w:r>
    </w:p>
    <w:p w14:paraId="13C5A2BB" w14:textId="314ABAAB" w:rsidR="009E0812" w:rsidRDefault="00000000">
      <w:pPr>
        <w:pStyle w:val="FirstParagraph"/>
      </w:pPr>
      <w:r>
        <w:t xml:space="preserve">This policy applies to: - Personal data of staff, pupils, parents, and third parties - Electronic and paper records held by </w:t>
      </w:r>
      <w:r w:rsidR="008117A6">
        <w:t xml:space="preserve">Helping Hand </w:t>
      </w:r>
      <w:r>
        <w:t>- All systems and processes that store or process personal data</w:t>
      </w:r>
    </w:p>
    <w:p w14:paraId="2000AD09" w14:textId="77777777" w:rsidR="009E0812" w:rsidRDefault="0066358A">
      <w:r>
        <w:rPr>
          <w:noProof/>
        </w:rPr>
        <w:pict w14:anchorId="2AFA1CE0">
          <v:rect id="_x0000_i1035" alt="" style="width:468pt;height:.05pt;mso-width-percent:0;mso-height-percent:0;mso-width-percent:0;mso-height-percent:0" o:hralign="center" o:hrstd="t" o:hr="t"/>
        </w:pict>
      </w:r>
    </w:p>
    <w:p w14:paraId="54FB0896" w14:textId="77777777" w:rsidR="009E0812" w:rsidRDefault="00000000">
      <w:pPr>
        <w:pStyle w:val="Heading2"/>
      </w:pPr>
      <w:bookmarkStart w:id="3" w:name="data-protection-principles"/>
      <w:bookmarkEnd w:id="2"/>
      <w:r>
        <w:t>3. Data Protection Principles</w:t>
      </w:r>
    </w:p>
    <w:p w14:paraId="3D8545EC" w14:textId="77777777" w:rsidR="009E0812" w:rsidRDefault="00000000">
      <w:pPr>
        <w:pStyle w:val="FirstParagraph"/>
      </w:pPr>
      <w:r>
        <w:t>All personal data will be: 1. Processed lawfully, fairly, and in a transparent manner 2. Collected for specified, explicit, and legitimate purposes 3. Adequate, relevant, and limited to what is necessary 4. Accurate and kept up to date 5. Kept in a form which permits identification for no longer than necessary 6. Processed securely to prevent unauthorized access, loss, or damage</w:t>
      </w:r>
    </w:p>
    <w:p w14:paraId="3CD849FF" w14:textId="77777777" w:rsidR="009E0812" w:rsidRDefault="0066358A">
      <w:r>
        <w:rPr>
          <w:noProof/>
        </w:rPr>
        <w:pict w14:anchorId="7127A468">
          <v:rect id="_x0000_i1034" alt="" style="width:468pt;height:.05pt;mso-width-percent:0;mso-height-percent:0;mso-width-percent:0;mso-height-percent:0" o:hralign="center" o:hrstd="t" o:hr="t"/>
        </w:pict>
      </w:r>
    </w:p>
    <w:p w14:paraId="509B9E9E" w14:textId="77777777" w:rsidR="009E0812" w:rsidRDefault="00000000">
      <w:pPr>
        <w:pStyle w:val="Heading2"/>
      </w:pPr>
      <w:bookmarkStart w:id="4" w:name="lawful-basis-for-processing"/>
      <w:bookmarkEnd w:id="3"/>
      <w:r>
        <w:t>4. Lawful Basis for Processing</w:t>
      </w:r>
    </w:p>
    <w:p w14:paraId="7D20EB36" w14:textId="1D7B4566" w:rsidR="009E0812" w:rsidRDefault="008117A6">
      <w:pPr>
        <w:pStyle w:val="FirstParagraph"/>
      </w:pPr>
      <w:r>
        <w:t xml:space="preserve">Helping Hand </w:t>
      </w:r>
      <w:r w:rsidR="00000000">
        <w:t>processes personal data based on one or more lawful bases, including: - Consent - Contractual necessity - Legal obligations - Vital interests - Public task - Legitimate interests</w:t>
      </w:r>
    </w:p>
    <w:p w14:paraId="72EC7252" w14:textId="77777777" w:rsidR="009E0812" w:rsidRDefault="0066358A">
      <w:r>
        <w:rPr>
          <w:noProof/>
        </w:rPr>
        <w:lastRenderedPageBreak/>
        <w:pict w14:anchorId="1CB04380">
          <v:rect id="_x0000_i1033" alt="" style="width:468pt;height:.05pt;mso-width-percent:0;mso-height-percent:0;mso-width-percent:0;mso-height-percent:0" o:hralign="center" o:hrstd="t" o:hr="t"/>
        </w:pict>
      </w:r>
    </w:p>
    <w:p w14:paraId="73EAAFCB" w14:textId="77777777" w:rsidR="009E0812" w:rsidRDefault="00000000">
      <w:pPr>
        <w:pStyle w:val="Heading2"/>
      </w:pPr>
      <w:bookmarkStart w:id="5" w:name="responsibilities"/>
      <w:bookmarkEnd w:id="4"/>
      <w:r>
        <w:t>5. Responsibilities</w:t>
      </w:r>
    </w:p>
    <w:p w14:paraId="0D66F044" w14:textId="77777777" w:rsidR="009E0812" w:rsidRDefault="00000000">
      <w:pPr>
        <w:pStyle w:val="Heading3"/>
      </w:pPr>
      <w:bookmarkStart w:id="6" w:name="data-protection-officer-dpo"/>
      <w:r>
        <w:t>Data Protection Officer (DPO)</w:t>
      </w:r>
    </w:p>
    <w:p w14:paraId="411C1B5F" w14:textId="77777777" w:rsidR="009E0812" w:rsidRDefault="00000000">
      <w:pPr>
        <w:pStyle w:val="Compact"/>
        <w:numPr>
          <w:ilvl w:val="0"/>
          <w:numId w:val="2"/>
        </w:numPr>
      </w:pPr>
      <w:r>
        <w:t>Oversee GDPR compliance</w:t>
      </w:r>
    </w:p>
    <w:p w14:paraId="6E52EDF7" w14:textId="77777777" w:rsidR="009E0812" w:rsidRDefault="00000000">
      <w:pPr>
        <w:pStyle w:val="Compact"/>
        <w:numPr>
          <w:ilvl w:val="0"/>
          <w:numId w:val="2"/>
        </w:numPr>
      </w:pPr>
      <w:r>
        <w:t>Maintain records of processing activities</w:t>
      </w:r>
    </w:p>
    <w:p w14:paraId="7E80107E" w14:textId="77777777" w:rsidR="009E0812" w:rsidRDefault="00000000">
      <w:pPr>
        <w:pStyle w:val="Compact"/>
        <w:numPr>
          <w:ilvl w:val="0"/>
          <w:numId w:val="2"/>
        </w:numPr>
      </w:pPr>
      <w:r>
        <w:t>Provide advice and training on data protection matters</w:t>
      </w:r>
    </w:p>
    <w:p w14:paraId="1205A40B" w14:textId="77777777" w:rsidR="009E0812" w:rsidRDefault="00000000">
      <w:pPr>
        <w:pStyle w:val="Heading3"/>
      </w:pPr>
      <w:bookmarkStart w:id="7" w:name="all-staff"/>
      <w:bookmarkEnd w:id="6"/>
      <w:r>
        <w:t>All Staff</w:t>
      </w:r>
    </w:p>
    <w:p w14:paraId="7D72ED9E" w14:textId="77777777" w:rsidR="009E0812" w:rsidRDefault="00000000">
      <w:pPr>
        <w:pStyle w:val="Compact"/>
        <w:numPr>
          <w:ilvl w:val="0"/>
          <w:numId w:val="3"/>
        </w:numPr>
      </w:pPr>
      <w:r>
        <w:t>Comply with this policy and GDPR principles</w:t>
      </w:r>
    </w:p>
    <w:p w14:paraId="3D12CC5F" w14:textId="77777777" w:rsidR="009E0812" w:rsidRDefault="00000000">
      <w:pPr>
        <w:pStyle w:val="Compact"/>
        <w:numPr>
          <w:ilvl w:val="0"/>
          <w:numId w:val="3"/>
        </w:numPr>
      </w:pPr>
      <w:r>
        <w:t>Protect personal data in all forms</w:t>
      </w:r>
    </w:p>
    <w:p w14:paraId="153729A9" w14:textId="77777777" w:rsidR="009E0812" w:rsidRDefault="00000000">
      <w:pPr>
        <w:pStyle w:val="Compact"/>
        <w:numPr>
          <w:ilvl w:val="0"/>
          <w:numId w:val="3"/>
        </w:numPr>
      </w:pPr>
      <w:r>
        <w:t>Report data breaches immediately to the DPO</w:t>
      </w:r>
    </w:p>
    <w:p w14:paraId="00460760" w14:textId="77777777" w:rsidR="009E0812" w:rsidRDefault="0066358A">
      <w:r>
        <w:rPr>
          <w:noProof/>
        </w:rPr>
        <w:pict w14:anchorId="2DAEE8A9">
          <v:rect id="_x0000_i1032" alt="" style="width:468pt;height:.05pt;mso-width-percent:0;mso-height-percent:0;mso-width-percent:0;mso-height-percent:0" o:hralign="center" o:hrstd="t" o:hr="t"/>
        </w:pict>
      </w:r>
    </w:p>
    <w:p w14:paraId="19958C39" w14:textId="77777777" w:rsidR="009E0812" w:rsidRDefault="00000000">
      <w:pPr>
        <w:pStyle w:val="Heading2"/>
      </w:pPr>
      <w:bookmarkStart w:id="8" w:name="data-subject-rights"/>
      <w:bookmarkEnd w:id="5"/>
      <w:bookmarkEnd w:id="7"/>
      <w:r>
        <w:t>6. Data Subject Rights</w:t>
      </w:r>
    </w:p>
    <w:p w14:paraId="19312FD7" w14:textId="77777777" w:rsidR="009E0812" w:rsidRDefault="00000000">
      <w:pPr>
        <w:pStyle w:val="FirstParagraph"/>
      </w:pPr>
      <w:r>
        <w:t>Individuals have the right to: - Access their personal data - Request rectification of inaccurate data - Request erasure of data (right to be forgotten) - Restrict processing - Object to processing - Data portability - Lodge a complaint with the ICO</w:t>
      </w:r>
    </w:p>
    <w:p w14:paraId="0F0517BE" w14:textId="77777777" w:rsidR="009E0812" w:rsidRDefault="0066358A">
      <w:r>
        <w:rPr>
          <w:noProof/>
        </w:rPr>
        <w:pict w14:anchorId="09CC7885">
          <v:rect id="_x0000_i1031" alt="" style="width:468pt;height:.05pt;mso-width-percent:0;mso-height-percent:0;mso-width-percent:0;mso-height-percent:0" o:hralign="center" o:hrstd="t" o:hr="t"/>
        </w:pict>
      </w:r>
    </w:p>
    <w:p w14:paraId="516C8861" w14:textId="77777777" w:rsidR="009E0812" w:rsidRDefault="00000000">
      <w:pPr>
        <w:pStyle w:val="Heading2"/>
      </w:pPr>
      <w:bookmarkStart w:id="9" w:name="data-security-and-storage"/>
      <w:bookmarkEnd w:id="8"/>
      <w:r>
        <w:t>7. Data Security and Storage</w:t>
      </w:r>
    </w:p>
    <w:p w14:paraId="4BB8D1A7" w14:textId="77777777" w:rsidR="009E0812" w:rsidRDefault="00000000">
      <w:pPr>
        <w:pStyle w:val="Compact"/>
        <w:numPr>
          <w:ilvl w:val="0"/>
          <w:numId w:val="4"/>
        </w:numPr>
      </w:pPr>
      <w:r>
        <w:t>Personal data will be stored securely using appropriate technical and organisational measures</w:t>
      </w:r>
    </w:p>
    <w:p w14:paraId="0C4FCC9D" w14:textId="77777777" w:rsidR="009E0812" w:rsidRDefault="00000000">
      <w:pPr>
        <w:pStyle w:val="Compact"/>
        <w:numPr>
          <w:ilvl w:val="0"/>
          <w:numId w:val="4"/>
        </w:numPr>
      </w:pPr>
      <w:r>
        <w:t>Paper records are stored in locked cabinets</w:t>
      </w:r>
    </w:p>
    <w:p w14:paraId="6C694773" w14:textId="77777777" w:rsidR="009E0812" w:rsidRDefault="00000000">
      <w:pPr>
        <w:pStyle w:val="Compact"/>
        <w:numPr>
          <w:ilvl w:val="0"/>
          <w:numId w:val="4"/>
        </w:numPr>
      </w:pPr>
      <w:r>
        <w:t>Electronic data is protected by passwords, encryption, and secure access controls</w:t>
      </w:r>
    </w:p>
    <w:p w14:paraId="1DE6EB42" w14:textId="77777777" w:rsidR="009E0812" w:rsidRDefault="00000000">
      <w:pPr>
        <w:pStyle w:val="Compact"/>
        <w:numPr>
          <w:ilvl w:val="0"/>
          <w:numId w:val="4"/>
        </w:numPr>
      </w:pPr>
      <w:r>
        <w:t>Staff must not share login credentials or leave sensitive data unsecured</w:t>
      </w:r>
    </w:p>
    <w:p w14:paraId="3EDC0CC8" w14:textId="77777777" w:rsidR="009E0812" w:rsidRDefault="0066358A">
      <w:r>
        <w:rPr>
          <w:noProof/>
        </w:rPr>
        <w:pict w14:anchorId="62601391">
          <v:rect id="_x0000_i1030" alt="" style="width:468pt;height:.05pt;mso-width-percent:0;mso-height-percent:0;mso-width-percent:0;mso-height-percent:0" o:hralign="center" o:hrstd="t" o:hr="t"/>
        </w:pict>
      </w:r>
    </w:p>
    <w:p w14:paraId="1AE32B47" w14:textId="77777777" w:rsidR="009E0812" w:rsidRDefault="00000000">
      <w:pPr>
        <w:pStyle w:val="Heading2"/>
      </w:pPr>
      <w:bookmarkStart w:id="10" w:name="data-sharing"/>
      <w:bookmarkEnd w:id="9"/>
      <w:r>
        <w:t>8. Data Sharing</w:t>
      </w:r>
    </w:p>
    <w:p w14:paraId="17FFF55F" w14:textId="77777777" w:rsidR="009E0812" w:rsidRDefault="00000000">
      <w:pPr>
        <w:pStyle w:val="Compact"/>
        <w:numPr>
          <w:ilvl w:val="0"/>
          <w:numId w:val="5"/>
        </w:numPr>
      </w:pPr>
      <w:r>
        <w:t>Personal data is shared only with authorized recipients and on a need-to-know basis</w:t>
      </w:r>
    </w:p>
    <w:p w14:paraId="5175084A" w14:textId="77777777" w:rsidR="009E0812" w:rsidRDefault="00000000">
      <w:pPr>
        <w:pStyle w:val="Compact"/>
        <w:numPr>
          <w:ilvl w:val="0"/>
          <w:numId w:val="5"/>
        </w:numPr>
      </w:pPr>
      <w:r>
        <w:t>Third-party processors are vetted for GDPR compliance</w:t>
      </w:r>
    </w:p>
    <w:p w14:paraId="11CBE35D" w14:textId="77777777" w:rsidR="009E0812" w:rsidRDefault="00000000">
      <w:pPr>
        <w:pStyle w:val="Compact"/>
        <w:numPr>
          <w:ilvl w:val="0"/>
          <w:numId w:val="5"/>
        </w:numPr>
      </w:pPr>
      <w:r>
        <w:t>Data sharing agreements are in place where necessary</w:t>
      </w:r>
    </w:p>
    <w:p w14:paraId="55DE3083" w14:textId="77777777" w:rsidR="009E0812" w:rsidRDefault="0066358A">
      <w:r>
        <w:rPr>
          <w:noProof/>
        </w:rPr>
        <w:pict w14:anchorId="2A64F694">
          <v:rect id="_x0000_i1029" alt="" style="width:468pt;height:.05pt;mso-width-percent:0;mso-height-percent:0;mso-width-percent:0;mso-height-percent:0" o:hralign="center" o:hrstd="t" o:hr="t"/>
        </w:pict>
      </w:r>
    </w:p>
    <w:p w14:paraId="47F8079A" w14:textId="77777777" w:rsidR="009E0812" w:rsidRDefault="00000000">
      <w:pPr>
        <w:pStyle w:val="Heading2"/>
      </w:pPr>
      <w:bookmarkStart w:id="11" w:name="data-breach-management"/>
      <w:bookmarkEnd w:id="10"/>
      <w:r>
        <w:t>9. Data Breach Management</w:t>
      </w:r>
    </w:p>
    <w:p w14:paraId="11487C02" w14:textId="77777777" w:rsidR="009E0812" w:rsidRDefault="00000000">
      <w:pPr>
        <w:pStyle w:val="Compact"/>
        <w:numPr>
          <w:ilvl w:val="0"/>
          <w:numId w:val="6"/>
        </w:numPr>
      </w:pPr>
      <w:r>
        <w:t>Any suspected data breach must be reported to the DPO immediately</w:t>
      </w:r>
    </w:p>
    <w:p w14:paraId="24CA2322" w14:textId="77777777" w:rsidR="009E0812" w:rsidRDefault="00000000">
      <w:pPr>
        <w:pStyle w:val="Compact"/>
        <w:numPr>
          <w:ilvl w:val="0"/>
          <w:numId w:val="6"/>
        </w:numPr>
      </w:pPr>
      <w:r>
        <w:t>The DPO will assess and notify the ICO within 72 hours if required</w:t>
      </w:r>
    </w:p>
    <w:p w14:paraId="79B290FC" w14:textId="77777777" w:rsidR="009E0812" w:rsidRDefault="00000000">
      <w:pPr>
        <w:pStyle w:val="Compact"/>
        <w:numPr>
          <w:ilvl w:val="0"/>
          <w:numId w:val="6"/>
        </w:numPr>
      </w:pPr>
      <w:r>
        <w:lastRenderedPageBreak/>
        <w:t>Affected data subjects will be informed if there is a high risk to their rights</w:t>
      </w:r>
    </w:p>
    <w:p w14:paraId="5271183E" w14:textId="77777777" w:rsidR="009E0812" w:rsidRDefault="0066358A">
      <w:r>
        <w:rPr>
          <w:noProof/>
        </w:rPr>
        <w:pict w14:anchorId="36DAB287">
          <v:rect id="_x0000_i1028" alt="" style="width:468pt;height:.05pt;mso-width-percent:0;mso-height-percent:0;mso-width-percent:0;mso-height-percent:0" o:hralign="center" o:hrstd="t" o:hr="t"/>
        </w:pict>
      </w:r>
    </w:p>
    <w:p w14:paraId="57BBF6BC" w14:textId="77777777" w:rsidR="009E0812" w:rsidRDefault="00000000">
      <w:pPr>
        <w:pStyle w:val="Heading2"/>
      </w:pPr>
      <w:bookmarkStart w:id="12" w:name="retention-and-disposal"/>
      <w:bookmarkEnd w:id="11"/>
      <w:r>
        <w:t>10. Retention and Disposal</w:t>
      </w:r>
    </w:p>
    <w:p w14:paraId="60F57FEF" w14:textId="77777777" w:rsidR="009E0812" w:rsidRDefault="00000000">
      <w:pPr>
        <w:pStyle w:val="Compact"/>
        <w:numPr>
          <w:ilvl w:val="0"/>
          <w:numId w:val="7"/>
        </w:numPr>
      </w:pPr>
      <w:r>
        <w:t>Personal data will only be kept for as long as necessary</w:t>
      </w:r>
    </w:p>
    <w:p w14:paraId="4539D468" w14:textId="77777777" w:rsidR="009E0812" w:rsidRDefault="00000000">
      <w:pPr>
        <w:pStyle w:val="Compact"/>
        <w:numPr>
          <w:ilvl w:val="0"/>
          <w:numId w:val="7"/>
        </w:numPr>
      </w:pPr>
      <w:r>
        <w:t>Retention schedules are maintained and reviewed</w:t>
      </w:r>
    </w:p>
    <w:p w14:paraId="569678CA" w14:textId="77777777" w:rsidR="009E0812" w:rsidRDefault="00000000">
      <w:pPr>
        <w:pStyle w:val="Compact"/>
        <w:numPr>
          <w:ilvl w:val="0"/>
          <w:numId w:val="7"/>
        </w:numPr>
      </w:pPr>
      <w:r>
        <w:t>Secure disposal methods will be used for electronic and paper records</w:t>
      </w:r>
    </w:p>
    <w:p w14:paraId="65A4C382" w14:textId="77777777" w:rsidR="009E0812" w:rsidRDefault="0066358A">
      <w:r>
        <w:rPr>
          <w:noProof/>
        </w:rPr>
        <w:pict w14:anchorId="5A0E4722">
          <v:rect id="_x0000_i1027" alt="" style="width:468pt;height:.05pt;mso-width-percent:0;mso-height-percent:0;mso-width-percent:0;mso-height-percent:0" o:hralign="center" o:hrstd="t" o:hr="t"/>
        </w:pict>
      </w:r>
    </w:p>
    <w:p w14:paraId="7CED422B" w14:textId="77777777" w:rsidR="009E0812" w:rsidRDefault="00000000">
      <w:pPr>
        <w:pStyle w:val="Heading2"/>
      </w:pPr>
      <w:bookmarkStart w:id="13" w:name="training-and-awareness"/>
      <w:bookmarkEnd w:id="12"/>
      <w:r>
        <w:t>11. Training and Awareness</w:t>
      </w:r>
    </w:p>
    <w:p w14:paraId="351053B3" w14:textId="77777777" w:rsidR="009E0812" w:rsidRDefault="00000000">
      <w:pPr>
        <w:pStyle w:val="Compact"/>
        <w:numPr>
          <w:ilvl w:val="0"/>
          <w:numId w:val="8"/>
        </w:numPr>
      </w:pPr>
      <w:r>
        <w:t>All staff receive GDPR and data protection training during induction</w:t>
      </w:r>
    </w:p>
    <w:p w14:paraId="4E67B90B" w14:textId="77777777" w:rsidR="009E0812" w:rsidRDefault="00000000">
      <w:pPr>
        <w:pStyle w:val="Compact"/>
        <w:numPr>
          <w:ilvl w:val="0"/>
          <w:numId w:val="8"/>
        </w:numPr>
      </w:pPr>
      <w:r>
        <w:t>Refresher training is provided regularly</w:t>
      </w:r>
    </w:p>
    <w:p w14:paraId="7C32AB9E" w14:textId="77777777" w:rsidR="009E0812" w:rsidRDefault="00000000">
      <w:pPr>
        <w:pStyle w:val="Compact"/>
        <w:numPr>
          <w:ilvl w:val="0"/>
          <w:numId w:val="8"/>
        </w:numPr>
      </w:pPr>
      <w:r>
        <w:t>Staff are updated on changes to policies and procedures</w:t>
      </w:r>
    </w:p>
    <w:p w14:paraId="3EEEB752" w14:textId="77777777" w:rsidR="009E0812" w:rsidRDefault="0066358A">
      <w:r>
        <w:rPr>
          <w:noProof/>
        </w:rPr>
        <w:pict w14:anchorId="1D77AFC3">
          <v:rect id="_x0000_i1026" alt="" style="width:468pt;height:.05pt;mso-width-percent:0;mso-height-percent:0;mso-width-percent:0;mso-height-percent:0" o:hralign="center" o:hrstd="t" o:hr="t"/>
        </w:pict>
      </w:r>
    </w:p>
    <w:p w14:paraId="66FBA66B" w14:textId="77777777" w:rsidR="009E0812" w:rsidRDefault="00000000">
      <w:pPr>
        <w:pStyle w:val="Heading2"/>
      </w:pPr>
      <w:bookmarkStart w:id="14" w:name="monitoring-and-review"/>
      <w:bookmarkEnd w:id="13"/>
      <w:r>
        <w:t>12. Monitoring and Review</w:t>
      </w:r>
    </w:p>
    <w:p w14:paraId="5F2C4AB5" w14:textId="77777777" w:rsidR="009E0812" w:rsidRDefault="00000000">
      <w:pPr>
        <w:pStyle w:val="Compact"/>
        <w:numPr>
          <w:ilvl w:val="0"/>
          <w:numId w:val="9"/>
        </w:numPr>
      </w:pPr>
      <w:r>
        <w:t>Compliance with this policy is monitored regularly</w:t>
      </w:r>
    </w:p>
    <w:p w14:paraId="413AFAEA" w14:textId="77777777" w:rsidR="009E0812" w:rsidRDefault="00000000">
      <w:pPr>
        <w:pStyle w:val="Compact"/>
        <w:numPr>
          <w:ilvl w:val="0"/>
          <w:numId w:val="9"/>
        </w:numPr>
      </w:pPr>
      <w:r>
        <w:t>Policy will be reviewed annually or when legislation changes</w:t>
      </w:r>
    </w:p>
    <w:p w14:paraId="0EB8B1D6" w14:textId="77777777" w:rsidR="009E0812" w:rsidRDefault="00000000">
      <w:pPr>
        <w:pStyle w:val="Compact"/>
        <w:numPr>
          <w:ilvl w:val="0"/>
          <w:numId w:val="9"/>
        </w:numPr>
      </w:pPr>
      <w:r>
        <w:t>Staff will be informed of updates and retrained if necessary</w:t>
      </w:r>
    </w:p>
    <w:p w14:paraId="5E8B1583" w14:textId="77777777" w:rsidR="009E0812" w:rsidRDefault="0066358A">
      <w:r>
        <w:rPr>
          <w:noProof/>
        </w:rPr>
        <w:pict w14:anchorId="28D125D3">
          <v:rect id="_x0000_i1025" alt="" style="width:468pt;height:.05pt;mso-width-percent:0;mso-height-percent:0;mso-width-percent:0;mso-height-percent:0" o:hralign="center" o:hrstd="t" o:hr="t"/>
        </w:pict>
      </w:r>
    </w:p>
    <w:p w14:paraId="18C53A54" w14:textId="77777777" w:rsidR="009E0812" w:rsidRDefault="00000000">
      <w:pPr>
        <w:pStyle w:val="FirstParagraph"/>
      </w:pPr>
      <w:r>
        <w:rPr>
          <w:b/>
          <w:bCs/>
        </w:rPr>
        <w:t>Signed:</w:t>
      </w:r>
      <w:r>
        <w:t xml:space="preserve"> ___________________________</w:t>
      </w:r>
    </w:p>
    <w:p w14:paraId="615B6608" w14:textId="77777777" w:rsidR="009E0812" w:rsidRDefault="00000000">
      <w:pPr>
        <w:pStyle w:val="BodyText"/>
      </w:pPr>
      <w:r>
        <w:rPr>
          <w:b/>
          <w:bCs/>
        </w:rPr>
        <w:t>Name:</w:t>
      </w:r>
      <w:r>
        <w:t xml:space="preserve"> ___________________________</w:t>
      </w:r>
    </w:p>
    <w:p w14:paraId="0A661F9F" w14:textId="77777777" w:rsidR="009E0812" w:rsidRDefault="00000000">
      <w:pPr>
        <w:pStyle w:val="BodyText"/>
      </w:pPr>
      <w:r>
        <w:rPr>
          <w:b/>
          <w:bCs/>
        </w:rPr>
        <w:t>Role:</w:t>
      </w:r>
      <w:r>
        <w:t xml:space="preserve"> ___________________________</w:t>
      </w:r>
    </w:p>
    <w:p w14:paraId="0AD7BAA8" w14:textId="77777777" w:rsidR="009E0812" w:rsidRDefault="00000000">
      <w:pPr>
        <w:pStyle w:val="BodyText"/>
      </w:pPr>
      <w:r>
        <w:rPr>
          <w:b/>
          <w:bCs/>
        </w:rPr>
        <w:t>Date:</w:t>
      </w:r>
      <w:r>
        <w:t xml:space="preserve"> ___________________________</w:t>
      </w:r>
      <w:bookmarkEnd w:id="0"/>
      <w:bookmarkEnd w:id="14"/>
    </w:p>
    <w:sectPr w:rsidR="009E081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E0C0E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3FC4D2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60529078">
    <w:abstractNumId w:val="0"/>
  </w:num>
  <w:num w:numId="2" w16cid:durableId="1725985053">
    <w:abstractNumId w:val="1"/>
  </w:num>
  <w:num w:numId="3" w16cid:durableId="1380393841">
    <w:abstractNumId w:val="1"/>
  </w:num>
  <w:num w:numId="4" w16cid:durableId="2114202770">
    <w:abstractNumId w:val="1"/>
  </w:num>
  <w:num w:numId="5" w16cid:durableId="589200427">
    <w:abstractNumId w:val="1"/>
  </w:num>
  <w:num w:numId="6" w16cid:durableId="972252106">
    <w:abstractNumId w:val="1"/>
  </w:num>
  <w:num w:numId="7" w16cid:durableId="1947037877">
    <w:abstractNumId w:val="1"/>
  </w:num>
  <w:num w:numId="8" w16cid:durableId="1668093528">
    <w:abstractNumId w:val="1"/>
  </w:num>
  <w:num w:numId="9" w16cid:durableId="99931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E0812"/>
    <w:rsid w:val="0066358A"/>
    <w:rsid w:val="008117A6"/>
    <w:rsid w:val="009E0812"/>
    <w:rsid w:val="00AB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0D3C"/>
  <w15:docId w15:val="{D832E9F3-98AB-2645-A843-E05CF87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Miss J Lindon</cp:lastModifiedBy>
  <cp:revision>2</cp:revision>
  <dcterms:created xsi:type="dcterms:W3CDTF">2025-12-17T21:01:00Z</dcterms:created>
  <dcterms:modified xsi:type="dcterms:W3CDTF">2025-12-21T23:06:00Z</dcterms:modified>
</cp:coreProperties>
</file>