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C1C" w:rsidRDefault="00843D0D" w14:paraId="55617093" w14:textId="77777777">
      <w:pPr>
        <w:pStyle w:val="Heading1"/>
      </w:pPr>
      <w:bookmarkStart w:name="staff-code-of-conduct-policy" w:id="0"/>
      <w:r>
        <w:t>Staff Code of Conduct Policy</w:t>
      </w:r>
    </w:p>
    <w:p w:rsidR="00B46C1C" w:rsidRDefault="00843D0D" w14:paraId="55617094" w14:textId="0FA940C7">
      <w:pPr>
        <w:pStyle w:val="FirstParagraph"/>
      </w:pPr>
      <w:r>
        <w:rPr>
          <w:b/>
          <w:bCs/>
        </w:rPr>
        <w:t>For:</w:t>
      </w:r>
      <w:r>
        <w:t xml:space="preserve"> </w:t>
      </w:r>
      <w:r w:rsidR="00C33E62">
        <w:t>Helping Hand West Midlands</w:t>
      </w:r>
    </w:p>
    <w:p w:rsidR="00B46C1C" w:rsidRDefault="00843D0D" w14:paraId="55617095" w14:textId="1817F418">
      <w:pPr>
        <w:pStyle w:val="BodyText"/>
      </w:pPr>
      <w:r>
        <w:rPr>
          <w:b/>
          <w:bCs/>
        </w:rPr>
        <w:t>Applies to:</w:t>
      </w:r>
      <w:r>
        <w:t xml:space="preserve"> All employees, behaviour and wellbeing staff, consultants, contractors, and volunteers</w:t>
      </w:r>
    </w:p>
    <w:p w:rsidR="00B46C1C" w:rsidRDefault="00843D0D" w14:paraId="55617096" w14:textId="77777777">
      <w:pPr>
        <w:pStyle w:val="BodyText"/>
      </w:pPr>
      <w:r>
        <w:rPr>
          <w:b/>
          <w:bCs/>
        </w:rPr>
        <w:t>Policy owner:</w:t>
      </w:r>
      <w:r>
        <w:t xml:space="preserve"> Director / Designated Safeguarding Lead (DSL)</w:t>
      </w:r>
    </w:p>
    <w:p w:rsidR="00B46C1C" w:rsidRDefault="00843D0D" w14:paraId="55617097" w14:textId="4B430A26">
      <w:pPr>
        <w:pStyle w:val="BodyText"/>
      </w:pPr>
      <w:r>
        <w:rPr>
          <w:b/>
          <w:bCs/>
        </w:rPr>
        <w:t>Last reviewed:</w:t>
      </w:r>
      <w:r>
        <w:t xml:space="preserve"> </w:t>
      </w:r>
      <w:r w:rsidR="00425922">
        <w:t>01.12.2025</w:t>
      </w:r>
    </w:p>
    <w:p w:rsidR="00B46C1C" w:rsidRDefault="00843D0D" w14:paraId="55617098" w14:textId="7871B0B1">
      <w:pPr>
        <w:pStyle w:val="BodyText"/>
      </w:pPr>
      <w:r>
        <w:rPr>
          <w:b/>
          <w:bCs/>
        </w:rPr>
        <w:t>Next review:</w:t>
      </w:r>
      <w:r>
        <w:t xml:space="preserve"> </w:t>
      </w:r>
      <w:r w:rsidR="00425922">
        <w:t>30.11.2025</w:t>
      </w:r>
    </w:p>
    <w:p w:rsidR="00B46C1C" w:rsidRDefault="00843D0D" w14:paraId="55617099" w14:textId="77777777">
      <w:r>
        <w:rPr>
          <w:noProof/>
        </w:rPr>
        <w:pict w14:anchorId="45E24CC5">
          <v:rect id="_x0000_i1025" style="width:468pt;height:.05pt;mso-width-percent:0;mso-height-percent:0;mso-width-percent:0;mso-height-percent:0" alt="" o:hr="t" o:hrstd="t" o:hralign="center"/>
        </w:pict>
      </w:r>
    </w:p>
    <w:p w:rsidR="00B46C1C" w:rsidRDefault="00843D0D" w14:paraId="5561709A" w14:textId="77777777">
      <w:pPr>
        <w:pStyle w:val="Heading2"/>
      </w:pPr>
      <w:bookmarkStart w:name="policy-statement" w:id="1"/>
      <w:r>
        <w:t>1. Policy Statement</w:t>
      </w:r>
    </w:p>
    <w:p w:rsidR="00B46C1C" w:rsidRDefault="00425922" w14:paraId="5561709B" w14:textId="4151DC4C">
      <w:pPr>
        <w:pStyle w:val="FirstParagraph"/>
      </w:pPr>
      <w:r>
        <w:t>Helping Hand expects all staff to maintain the highest standards of professional conduct when working in schools or other educational settings. This Code of Conduct complements statutory safeguarding guidance, health and safety, and school-specific policies.</w:t>
      </w:r>
    </w:p>
    <w:p w:rsidR="00B46C1C" w:rsidRDefault="00843D0D" w14:paraId="5561709C" w14:textId="77777777">
      <w:pPr>
        <w:pStyle w:val="BodyText"/>
      </w:pPr>
      <w:r>
        <w:t>All staff are expected to act as positive role models and uphold the integrity of the organisation.</w:t>
      </w:r>
    </w:p>
    <w:p w:rsidR="00B46C1C" w:rsidRDefault="00843D0D" w14:paraId="5561709D" w14:textId="77777777">
      <w:r>
        <w:rPr>
          <w:noProof/>
        </w:rPr>
        <w:pict w14:anchorId="576B2677">
          <v:rect id="_x0000_i1026" style="width:468pt;height:.05pt;mso-width-percent:0;mso-height-percent:0;mso-width-percent:0;mso-height-percent:0" alt="" o:hr="t" o:hrstd="t" o:hralign="center"/>
        </w:pict>
      </w:r>
    </w:p>
    <w:p w:rsidR="00B46C1C" w:rsidRDefault="00843D0D" w14:paraId="5561709E" w14:textId="77777777">
      <w:pPr>
        <w:pStyle w:val="Heading2"/>
      </w:pPr>
      <w:bookmarkStart w:name="professional-behaviour" w:id="2"/>
      <w:bookmarkEnd w:id="1"/>
      <w:r>
        <w:t>2. Professional Behaviour</w:t>
      </w:r>
    </w:p>
    <w:p w:rsidR="00B46C1C" w:rsidRDefault="00843D0D" w14:paraId="5561709F" w14:textId="77777777">
      <w:pPr>
        <w:pStyle w:val="FirstParagraph"/>
      </w:pPr>
      <w:r>
        <w:t>Staff must: - Treat all children, colleagues, and visitors with respect and dignity - Act in the best interests of children at all times - Maintain appropriate professional boundaries - Follow the school’s behaviour and safeguarding policies - Avoid actions that could be perceived as discriminatory, abusive, or unprofessional</w:t>
      </w:r>
    </w:p>
    <w:p w:rsidR="00B46C1C" w:rsidRDefault="00843D0D" w14:paraId="556170A0" w14:textId="77777777">
      <w:pPr>
        <w:pStyle w:val="BodyText"/>
      </w:pPr>
      <w:r>
        <w:t>Staff must not: - Engage in any form of physical punishment or inappropriate physical contact - Use offensive, discriminatory, or derogatory language - Share personal information about children or colleagues without consent - Engage in online communication with pupils through personal devices or social media</w:t>
      </w:r>
    </w:p>
    <w:p w:rsidR="00B46C1C" w:rsidRDefault="00843D0D" w14:paraId="556170A1" w14:textId="77777777">
      <w:r>
        <w:rPr>
          <w:noProof/>
        </w:rPr>
        <w:pict w14:anchorId="2DAE1714">
          <v:rect id="_x0000_i1027" style="width:468pt;height:.05pt;mso-width-percent:0;mso-height-percent:0;mso-width-percent:0;mso-height-percent:0" alt="" o:hr="t" o:hrstd="t" o:hralign="center"/>
        </w:pict>
      </w:r>
    </w:p>
    <w:p w:rsidR="00B46C1C" w:rsidRDefault="00843D0D" w14:paraId="556170A2" w14:textId="77777777">
      <w:pPr>
        <w:pStyle w:val="Heading2"/>
      </w:pPr>
      <w:bookmarkStart w:name="attendance-and-punctuality" w:id="3"/>
      <w:bookmarkEnd w:id="2"/>
      <w:r>
        <w:t>3. Attendance and Punctuality</w:t>
      </w:r>
    </w:p>
    <w:p w:rsidR="00B46C1C" w:rsidRDefault="00843D0D" w14:paraId="556170A3" w14:textId="77777777">
      <w:pPr>
        <w:pStyle w:val="Compact"/>
        <w:numPr>
          <w:ilvl w:val="0"/>
          <w:numId w:val="2"/>
        </w:numPr>
      </w:pPr>
      <w:r>
        <w:t>Staff must attend all assigned shifts and placements on time</w:t>
      </w:r>
    </w:p>
    <w:p w:rsidR="00B46C1C" w:rsidRDefault="00843D0D" w14:paraId="556170A4" w14:textId="71F62133">
      <w:pPr>
        <w:pStyle w:val="Compact"/>
        <w:numPr>
          <w:ilvl w:val="0"/>
          <w:numId w:val="2"/>
        </w:numPr>
        <w:rPr/>
      </w:pPr>
      <w:r w:rsidR="00843D0D">
        <w:rPr/>
        <w:t>Notify the</w:t>
      </w:r>
      <w:r w:rsidR="5C29840C">
        <w:rPr/>
        <w:t xml:space="preserve">ir line manager </w:t>
      </w:r>
      <w:r w:rsidR="00843D0D">
        <w:rPr/>
        <w:t>and school promptly in case of illness or unavoidable absence</w:t>
      </w:r>
    </w:p>
    <w:p w:rsidR="00B46C1C" w:rsidRDefault="00843D0D" w14:paraId="556170A5" w14:textId="77777777">
      <w:pPr>
        <w:pStyle w:val="Compact"/>
        <w:numPr>
          <w:ilvl w:val="0"/>
          <w:numId w:val="2"/>
        </w:numPr>
      </w:pPr>
      <w:r>
        <w:t>Ensure accurate timekeeping records are maintained where required</w:t>
      </w:r>
    </w:p>
    <w:p w:rsidR="00B46C1C" w:rsidRDefault="00843D0D" w14:paraId="556170A6" w14:textId="77777777">
      <w:r>
        <w:rPr>
          <w:noProof/>
        </w:rPr>
        <w:pict w14:anchorId="3169F245">
          <v:rect id="_x0000_i1028" style="width:468pt;height:.05pt;mso-width-percent:0;mso-height-percent:0;mso-width-percent:0;mso-height-percent:0" alt="" o:hr="t" o:hrstd="t" o:hralign="center"/>
        </w:pict>
      </w:r>
    </w:p>
    <w:p w:rsidR="00B46C1C" w:rsidRDefault="00843D0D" w14:paraId="556170A7" w14:textId="77777777">
      <w:pPr>
        <w:pStyle w:val="Heading2"/>
      </w:pPr>
      <w:bookmarkStart w:name="dress-code-and-personal-presentation" w:id="4"/>
      <w:bookmarkEnd w:id="3"/>
      <w:r>
        <w:t>4. Dress Code and Personal Presentation</w:t>
      </w:r>
    </w:p>
    <w:p w:rsidR="00B46C1C" w:rsidRDefault="00843D0D" w14:paraId="556170A8" w14:textId="77777777">
      <w:pPr>
        <w:pStyle w:val="Compact"/>
        <w:numPr>
          <w:ilvl w:val="0"/>
          <w:numId w:val="3"/>
        </w:numPr>
      </w:pPr>
      <w:r>
        <w:t>Staff should dress in a professional and appropriate manner suitable for an educational setting</w:t>
      </w:r>
    </w:p>
    <w:p w:rsidR="00B46C1C" w:rsidRDefault="00843D0D" w14:paraId="556170A9" w14:textId="77777777">
      <w:pPr>
        <w:pStyle w:val="Compact"/>
        <w:numPr>
          <w:ilvl w:val="0"/>
          <w:numId w:val="3"/>
        </w:numPr>
      </w:pPr>
      <w:r>
        <w:t>Clothing should be safe and not restrict movement</w:t>
      </w:r>
    </w:p>
    <w:p w:rsidR="00B46C1C" w:rsidRDefault="00843D0D" w14:paraId="556170AA" w14:textId="77777777">
      <w:pPr>
        <w:pStyle w:val="Compact"/>
        <w:numPr>
          <w:ilvl w:val="0"/>
          <w:numId w:val="3"/>
        </w:numPr>
      </w:pPr>
      <w:r>
        <w:t>Visible tattoos, piercings, and hairstyles must not cause distraction or concern</w:t>
      </w:r>
    </w:p>
    <w:p w:rsidR="00B46C1C" w:rsidRDefault="00843D0D" w14:paraId="556170AB" w14:textId="77777777">
      <w:r>
        <w:rPr>
          <w:noProof/>
        </w:rPr>
        <w:pict w14:anchorId="3F5FAA2A">
          <v:rect id="_x0000_i1029" style="width:468pt;height:.05pt;mso-width-percent:0;mso-height-percent:0;mso-width-percent:0;mso-height-percent:0" alt="" o:hr="t" o:hrstd="t" o:hralign="center"/>
        </w:pict>
      </w:r>
    </w:p>
    <w:p w:rsidR="00B46C1C" w:rsidRDefault="00843D0D" w14:paraId="556170AC" w14:textId="77777777">
      <w:pPr>
        <w:pStyle w:val="Heading2"/>
      </w:pPr>
      <w:bookmarkStart w:name="use-of-technology" w:id="5"/>
      <w:bookmarkEnd w:id="4"/>
      <w:r>
        <w:t>5. Use of Technology</w:t>
      </w:r>
    </w:p>
    <w:p w:rsidR="00B46C1C" w:rsidRDefault="00843D0D" w14:paraId="556170AD" w14:textId="77777777">
      <w:pPr>
        <w:pStyle w:val="Compact"/>
        <w:numPr>
          <w:ilvl w:val="0"/>
          <w:numId w:val="4"/>
        </w:numPr>
      </w:pPr>
      <w:r>
        <w:t>Use school IT and communication systems responsibly</w:t>
      </w:r>
    </w:p>
    <w:p w:rsidR="00B46C1C" w:rsidRDefault="00843D0D" w14:paraId="556170AE" w14:textId="77777777">
      <w:pPr>
        <w:pStyle w:val="Compact"/>
        <w:numPr>
          <w:ilvl w:val="0"/>
          <w:numId w:val="4"/>
        </w:numPr>
      </w:pPr>
      <w:r>
        <w:t>Follow the school’s and [Company Name] policies regarding email, devices, and online platforms</w:t>
      </w:r>
    </w:p>
    <w:p w:rsidR="00B46C1C" w:rsidRDefault="00843D0D" w14:paraId="556170AF" w14:textId="77777777">
      <w:pPr>
        <w:pStyle w:val="Compact"/>
        <w:numPr>
          <w:ilvl w:val="0"/>
          <w:numId w:val="4"/>
        </w:numPr>
      </w:pPr>
      <w:r>
        <w:t>Do not access or share inappropriate content</w:t>
      </w:r>
    </w:p>
    <w:p w:rsidR="00B46C1C" w:rsidRDefault="00843D0D" w14:paraId="556170B0" w14:textId="77777777">
      <w:r>
        <w:rPr>
          <w:noProof/>
        </w:rPr>
        <w:pict w14:anchorId="27881C92">
          <v:rect id="_x0000_i1030" style="width:468pt;height:.05pt;mso-width-percent:0;mso-height-percent:0;mso-width-percent:0;mso-height-percent:0" alt="" o:hr="t" o:hrstd="t" o:hralign="center"/>
        </w:pict>
      </w:r>
    </w:p>
    <w:p w:rsidR="00B46C1C" w:rsidRDefault="00843D0D" w14:paraId="556170B1" w14:textId="77777777">
      <w:pPr>
        <w:pStyle w:val="Heading2"/>
      </w:pPr>
      <w:bookmarkStart w:name="confidentiality" w:id="6"/>
      <w:bookmarkEnd w:id="5"/>
      <w:r>
        <w:t>6. Confidentiality</w:t>
      </w:r>
    </w:p>
    <w:p w:rsidR="00B46C1C" w:rsidRDefault="00843D0D" w14:paraId="556170B2" w14:textId="77777777">
      <w:pPr>
        <w:pStyle w:val="Compact"/>
        <w:numPr>
          <w:ilvl w:val="0"/>
          <w:numId w:val="5"/>
        </w:numPr>
      </w:pPr>
      <w:r>
        <w:t>Maintain confidentiality of all school and pupil information</w:t>
      </w:r>
    </w:p>
    <w:p w:rsidR="00B46C1C" w:rsidRDefault="00843D0D" w14:paraId="556170B3" w14:textId="77777777">
      <w:pPr>
        <w:pStyle w:val="Compact"/>
        <w:numPr>
          <w:ilvl w:val="0"/>
          <w:numId w:val="5"/>
        </w:numPr>
      </w:pPr>
      <w:r>
        <w:t>Share information on a need-to-know basis only</w:t>
      </w:r>
    </w:p>
    <w:p w:rsidR="00B46C1C" w:rsidRDefault="00843D0D" w14:paraId="556170B4" w14:textId="77777777">
      <w:pPr>
        <w:pStyle w:val="Compact"/>
        <w:numPr>
          <w:ilvl w:val="0"/>
          <w:numId w:val="5"/>
        </w:numPr>
      </w:pPr>
      <w:r>
        <w:t>Comply with GDPR and data protection requirements</w:t>
      </w:r>
    </w:p>
    <w:p w:rsidR="00B46C1C" w:rsidRDefault="00843D0D" w14:paraId="556170B5" w14:textId="77777777">
      <w:r>
        <w:rPr>
          <w:noProof/>
        </w:rPr>
        <w:pict w14:anchorId="142D292E">
          <v:rect id="_x0000_i1031" style="width:468pt;height:.05pt;mso-width-percent:0;mso-height-percent:0;mso-width-percent:0;mso-height-percent:0" alt="" o:hr="t" o:hrstd="t" o:hralign="center"/>
        </w:pict>
      </w:r>
    </w:p>
    <w:p w:rsidR="00B46C1C" w:rsidRDefault="00843D0D" w14:paraId="556170B6" w14:textId="77777777">
      <w:pPr>
        <w:pStyle w:val="Heading2"/>
      </w:pPr>
      <w:bookmarkStart w:name="safeguarding-responsibilities" w:id="7"/>
      <w:bookmarkEnd w:id="6"/>
      <w:r>
        <w:t>7. Safeguarding Responsibilities</w:t>
      </w:r>
    </w:p>
    <w:p w:rsidR="00B46C1C" w:rsidRDefault="00843D0D" w14:paraId="556170B7" w14:textId="77777777">
      <w:pPr>
        <w:pStyle w:val="Compact"/>
        <w:numPr>
          <w:ilvl w:val="0"/>
          <w:numId w:val="6"/>
        </w:numPr>
      </w:pPr>
      <w:r>
        <w:t>Understand and comply with the Safeguarding and Child Protection Policy</w:t>
      </w:r>
    </w:p>
    <w:p w:rsidR="00B46C1C" w:rsidRDefault="00843D0D" w14:paraId="556170B8" w14:textId="516A367A">
      <w:pPr>
        <w:pStyle w:val="Compact"/>
        <w:numPr>
          <w:ilvl w:val="0"/>
          <w:numId w:val="6"/>
        </w:numPr>
      </w:pPr>
      <w:r>
        <w:t xml:space="preserve">Report any safeguarding concerns immediately to the school DSL and </w:t>
      </w:r>
      <w:r w:rsidR="00425922">
        <w:t xml:space="preserve">Helping Hand </w:t>
      </w:r>
      <w:r>
        <w:t>DSL</w:t>
      </w:r>
    </w:p>
    <w:p w:rsidR="00B46C1C" w:rsidRDefault="00843D0D" w14:paraId="556170B9" w14:textId="77777777">
      <w:pPr>
        <w:pStyle w:val="Compact"/>
        <w:numPr>
          <w:ilvl w:val="0"/>
          <w:numId w:val="6"/>
        </w:numPr>
      </w:pPr>
      <w:r>
        <w:t>Cooperate with investigations relating to child protection or staff misconduct</w:t>
      </w:r>
    </w:p>
    <w:p w:rsidR="00B46C1C" w:rsidRDefault="00843D0D" w14:paraId="556170BA" w14:textId="77777777">
      <w:r>
        <w:rPr>
          <w:noProof/>
        </w:rPr>
        <w:pict w14:anchorId="272DA818">
          <v:rect id="_x0000_i1032" style="width:468pt;height:.05pt;mso-width-percent:0;mso-height-percent:0;mso-width-percent:0;mso-height-percent:0" alt="" o:hr="t" o:hrstd="t" o:hralign="center"/>
        </w:pict>
      </w:r>
    </w:p>
    <w:p w:rsidR="00B46C1C" w:rsidRDefault="00843D0D" w14:paraId="556170BB" w14:textId="77777777">
      <w:pPr>
        <w:pStyle w:val="Heading2"/>
      </w:pPr>
      <w:bookmarkStart w:name="professional-development" w:id="8"/>
      <w:bookmarkEnd w:id="7"/>
      <w:r>
        <w:t>8. Professional Development</w:t>
      </w:r>
    </w:p>
    <w:p w:rsidR="00B46C1C" w:rsidRDefault="00843D0D" w14:paraId="556170BC" w14:textId="77777777">
      <w:pPr>
        <w:pStyle w:val="Compact"/>
        <w:numPr>
          <w:ilvl w:val="0"/>
          <w:numId w:val="7"/>
        </w:numPr>
      </w:pPr>
      <w:r>
        <w:t>Participate in induction, training, and professional development sessions</w:t>
      </w:r>
    </w:p>
    <w:p w:rsidR="00B46C1C" w:rsidRDefault="00843D0D" w14:paraId="556170BD" w14:textId="77777777">
      <w:pPr>
        <w:pStyle w:val="Compact"/>
        <w:numPr>
          <w:ilvl w:val="0"/>
          <w:numId w:val="7"/>
        </w:numPr>
      </w:pPr>
      <w:r>
        <w:t>Keep up to date with changes in policies, guidance, and best practice relevant to your role</w:t>
      </w:r>
    </w:p>
    <w:p w:rsidR="00B46C1C" w:rsidRDefault="00843D0D" w14:paraId="556170BE" w14:textId="77777777">
      <w:r>
        <w:rPr>
          <w:noProof/>
        </w:rPr>
        <w:pict w14:anchorId="1D7CDC96">
          <v:rect id="_x0000_i1033" style="width:468pt;height:.05pt;mso-width-percent:0;mso-height-percent:0;mso-width-percent:0;mso-height-percent:0" alt="" o:hr="t" o:hrstd="t" o:hralign="center"/>
        </w:pict>
      </w:r>
    </w:p>
    <w:p w:rsidR="00B46C1C" w:rsidRDefault="00843D0D" w14:paraId="556170BF" w14:textId="77777777">
      <w:pPr>
        <w:pStyle w:val="Heading2"/>
      </w:pPr>
      <w:bookmarkStart w:name="conflicts-of-interest" w:id="9"/>
      <w:bookmarkEnd w:id="8"/>
      <w:r>
        <w:t>9. Conflicts of Interest</w:t>
      </w:r>
    </w:p>
    <w:p w:rsidR="00B46C1C" w:rsidRDefault="00843D0D" w14:paraId="556170C0" w14:textId="77777777">
      <w:pPr>
        <w:pStyle w:val="Compact"/>
        <w:numPr>
          <w:ilvl w:val="0"/>
          <w:numId w:val="8"/>
        </w:numPr>
      </w:pPr>
      <w:r>
        <w:t>Declare any potential conflicts of interest to the agency or school</w:t>
      </w:r>
    </w:p>
    <w:p w:rsidR="00B46C1C" w:rsidRDefault="00843D0D" w14:paraId="556170C1" w14:textId="77777777">
      <w:pPr>
        <w:pStyle w:val="Compact"/>
        <w:numPr>
          <w:ilvl w:val="0"/>
          <w:numId w:val="8"/>
        </w:numPr>
      </w:pPr>
      <w:r>
        <w:t>Avoid situations that may compromise professional judgement or integrity</w:t>
      </w:r>
    </w:p>
    <w:p w:rsidR="00B46C1C" w:rsidRDefault="00843D0D" w14:paraId="556170C2" w14:textId="77777777">
      <w:r>
        <w:rPr>
          <w:noProof/>
        </w:rPr>
        <w:pict w14:anchorId="18D2D5B7">
          <v:rect id="_x0000_i1034" style="width:468pt;height:.05pt;mso-width-percent:0;mso-height-percent:0;mso-width-percent:0;mso-height-percent:0" alt="" o:hr="t" o:hrstd="t" o:hralign="center"/>
        </w:pict>
      </w:r>
    </w:p>
    <w:p w:rsidR="00B46C1C" w:rsidRDefault="00843D0D" w14:paraId="556170C3" w14:textId="77777777">
      <w:pPr>
        <w:pStyle w:val="Heading2"/>
      </w:pPr>
      <w:bookmarkStart w:name="compliance-and-disciplinary-action" w:id="10"/>
      <w:bookmarkEnd w:id="9"/>
      <w:r>
        <w:t>10. Compliance and Disciplinary Action</w:t>
      </w:r>
    </w:p>
    <w:p w:rsidR="00B46C1C" w:rsidRDefault="00843D0D" w14:paraId="556170C4" w14:textId="77777777">
      <w:pPr>
        <w:pStyle w:val="Compact"/>
        <w:numPr>
          <w:ilvl w:val="0"/>
          <w:numId w:val="9"/>
        </w:numPr>
      </w:pPr>
      <w:r>
        <w:t>Staff who fail to adhere to this Code of Conduct may be subject to disciplinary action</w:t>
      </w:r>
    </w:p>
    <w:p w:rsidR="00B46C1C" w:rsidRDefault="00843D0D" w14:paraId="556170C5" w14:textId="77777777">
      <w:pPr>
        <w:pStyle w:val="Compact"/>
        <w:numPr>
          <w:ilvl w:val="0"/>
          <w:numId w:val="9"/>
        </w:numPr>
      </w:pPr>
      <w:r>
        <w:t>Serious breaches may result in removal from placement or termination of contract</w:t>
      </w:r>
    </w:p>
    <w:p w:rsidR="00B46C1C" w:rsidRDefault="00843D0D" w14:paraId="556170C6" w14:textId="77777777">
      <w:pPr>
        <w:pStyle w:val="Compact"/>
        <w:numPr>
          <w:ilvl w:val="0"/>
          <w:numId w:val="9"/>
        </w:numPr>
      </w:pPr>
      <w:r>
        <w:t>Allegations of misconduct will be investigated in line with statutory guidance and internal procedures</w:t>
      </w:r>
    </w:p>
    <w:p w:rsidR="00B46C1C" w:rsidRDefault="00843D0D" w14:paraId="556170C7" w14:textId="77777777">
      <w:r>
        <w:rPr>
          <w:noProof/>
        </w:rPr>
        <w:pict w14:anchorId="45AD662D">
          <v:rect id="_x0000_i1035" style="width:468pt;height:.05pt;mso-width-percent:0;mso-height-percent:0;mso-width-percent:0;mso-height-percent:0" alt="" o:hr="t" o:hrstd="t" o:hralign="center"/>
        </w:pict>
      </w:r>
    </w:p>
    <w:p w:rsidR="00B46C1C" w:rsidRDefault="00843D0D" w14:paraId="556170C8" w14:textId="77777777">
      <w:pPr>
        <w:pStyle w:val="Heading2"/>
      </w:pPr>
      <w:bookmarkStart w:name="monitoring-and-review" w:id="11"/>
      <w:bookmarkEnd w:id="10"/>
      <w:r>
        <w:t>11. Monitoring and Review</w:t>
      </w:r>
    </w:p>
    <w:p w:rsidR="00B46C1C" w:rsidRDefault="00843D0D" w14:paraId="556170C9" w14:textId="77777777">
      <w:pPr>
        <w:pStyle w:val="Compact"/>
        <w:numPr>
          <w:ilvl w:val="0"/>
          <w:numId w:val="10"/>
        </w:numPr>
      </w:pPr>
      <w:r>
        <w:t>This policy will be reviewed annually or following significant incidents</w:t>
      </w:r>
    </w:p>
    <w:p w:rsidR="00B46C1C" w:rsidRDefault="00843D0D" w14:paraId="556170CA" w14:textId="77777777">
      <w:pPr>
        <w:pStyle w:val="Compact"/>
        <w:numPr>
          <w:ilvl w:val="0"/>
          <w:numId w:val="10"/>
        </w:numPr>
      </w:pPr>
      <w:r>
        <w:t>Staff will be informed of updates and required to acknowledge the revised policy</w:t>
      </w:r>
    </w:p>
    <w:p w:rsidR="00B46C1C" w:rsidRDefault="00843D0D" w14:paraId="556170CB" w14:textId="77777777">
      <w:r>
        <w:rPr>
          <w:noProof/>
        </w:rPr>
        <w:pict w14:anchorId="5F1111D2">
          <v:rect id="_x0000_i1036" style="width:468pt;height:.05pt;mso-width-percent:0;mso-height-percent:0;mso-width-percent:0;mso-height-percent:0" alt="" o:hr="t" o:hrstd="t" o:hralign="center"/>
        </w:pict>
      </w:r>
    </w:p>
    <w:p w:rsidR="00B46C1C" w:rsidRDefault="00843D0D" w14:paraId="556170CC" w14:textId="77777777">
      <w:pPr>
        <w:pStyle w:val="FirstParagraph"/>
      </w:pPr>
      <w:r>
        <w:rPr>
          <w:b/>
          <w:bCs/>
        </w:rPr>
        <w:t>Signed:</w:t>
      </w:r>
      <w:r>
        <w:t xml:space="preserve"> ___________________________</w:t>
      </w:r>
    </w:p>
    <w:p w:rsidR="00B46C1C" w:rsidRDefault="00843D0D" w14:paraId="556170CD" w14:textId="77777777">
      <w:pPr>
        <w:pStyle w:val="BodyText"/>
      </w:pPr>
      <w:r>
        <w:rPr>
          <w:b/>
          <w:bCs/>
        </w:rPr>
        <w:t>Name:</w:t>
      </w:r>
      <w:r>
        <w:t xml:space="preserve"> ___________________________</w:t>
      </w:r>
    </w:p>
    <w:p w:rsidR="00B46C1C" w:rsidRDefault="00843D0D" w14:paraId="556170CE" w14:textId="77777777">
      <w:pPr>
        <w:pStyle w:val="BodyText"/>
      </w:pPr>
      <w:r>
        <w:rPr>
          <w:b/>
          <w:bCs/>
        </w:rPr>
        <w:t>Role:</w:t>
      </w:r>
      <w:r>
        <w:t xml:space="preserve"> ___________________________</w:t>
      </w:r>
    </w:p>
    <w:p w:rsidR="00B46C1C" w:rsidRDefault="00843D0D" w14:paraId="556170CF" w14:textId="77777777">
      <w:pPr>
        <w:pStyle w:val="BodyText"/>
      </w:pPr>
      <w:r>
        <w:rPr>
          <w:b/>
          <w:bCs/>
        </w:rPr>
        <w:t>Date:</w:t>
      </w:r>
      <w:r>
        <w:t xml:space="preserve"> ___________________________</w:t>
      </w:r>
      <w:bookmarkEnd w:id="0"/>
      <w:bookmarkEnd w:id="11"/>
    </w:p>
    <w:sectPr w:rsidR="00B46C1C">
      <w:footnotePr>
        <w:numRestart w:val="eachSect"/>
      </w:footnotePr>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C50631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F38CE38"/>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num w:numId="1" w16cid:durableId="811561839">
    <w:abstractNumId w:val="0"/>
  </w:num>
  <w:num w:numId="2" w16cid:durableId="88232361">
    <w:abstractNumId w:val="1"/>
  </w:num>
  <w:num w:numId="3" w16cid:durableId="98374848">
    <w:abstractNumId w:val="1"/>
  </w:num>
  <w:num w:numId="4" w16cid:durableId="1032998685">
    <w:abstractNumId w:val="1"/>
  </w:num>
  <w:num w:numId="5" w16cid:durableId="1664308745">
    <w:abstractNumId w:val="1"/>
  </w:num>
  <w:num w:numId="6" w16cid:durableId="192814808">
    <w:abstractNumId w:val="1"/>
  </w:num>
  <w:num w:numId="7" w16cid:durableId="959652508">
    <w:abstractNumId w:val="1"/>
  </w:num>
  <w:num w:numId="8" w16cid:durableId="752624420">
    <w:abstractNumId w:val="1"/>
  </w:num>
  <w:num w:numId="9" w16cid:durableId="1526864130">
    <w:abstractNumId w:val="1"/>
  </w:num>
  <w:num w:numId="10" w16cid:durableId="191196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1C"/>
    <w:rsid w:val="00000000"/>
    <w:rsid w:val="00425922"/>
    <w:rsid w:val="00843D0D"/>
    <w:rsid w:val="00A04A3A"/>
    <w:rsid w:val="00AB01D7"/>
    <w:rsid w:val="00B46C1C"/>
    <w:rsid w:val="00C33E62"/>
    <w:rsid w:val="00F51DFB"/>
    <w:rsid w:val="5C29840C"/>
    <w:rsid w:val="6CD28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7093"/>
  <w15:docId w15:val="{D832E9F3-98AB-2645-A843-E05CF87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0FD9"/>
    <w:rPr>
      <w:rFonts w:asciiTheme="majorHAnsi" w:hAnsiTheme="majorHAnsi" w:eastAsiaTheme="majorEastAsia"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styleId="SubtitleChar" w:customStyle="1">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Title" w:customStyle="1">
    <w:name w:val="Abstract Title"/>
    <w:basedOn w:val="Normal"/>
    <w:next w:val="Abstract"/>
    <w:qFormat/>
    <w:pPr>
      <w:keepNext/>
      <w:keepLines/>
      <w:spacing w:before="300" w:after="0"/>
      <w:jc w:val="center"/>
    </w:pPr>
    <w:rPr>
      <w:b/>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styleId="Heading1Char" w:customStyle="1">
    <w:name w:val="Heading 1 Char"/>
    <w:basedOn w:val="DefaultParagraphFont"/>
    <w:link w:val="Heading1"/>
    <w:uiPriority w:val="9"/>
    <w:rsid w:val="00A10F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0F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0F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0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0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0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FootnoteBlockText" w:customStyle="1">
    <w:name w:val="Footnote Block Text"/>
    <w:basedOn w:val="FootnoteText"/>
    <w:next w:val="FootnoteText"/>
    <w:uiPriority w:val="9"/>
    <w:unhideWhenUsed/>
    <w:qFormat/>
    <w:pPr>
      <w:spacing w:before="100" w:after="100"/>
      <w:ind w:left="480" w:right="480"/>
    </w:pPr>
  </w:style>
  <w:style w:type="table" w:styleId="Table" w:customStyle="1">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Jordyn Lindon</lastModifiedBy>
  <revision>4</revision>
  <dcterms:created xsi:type="dcterms:W3CDTF">2026-01-01T22:24:00.0000000Z</dcterms:created>
  <dcterms:modified xsi:type="dcterms:W3CDTF">2026-01-01T22:25:34.9238574Z</dcterms:modified>
</coreProperties>
</file>